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A9" w:rsidRPr="00E362A9" w:rsidRDefault="00E362A9" w:rsidP="00E362A9">
      <w:pPr>
        <w:jc w:val="center"/>
        <w:rPr>
          <w:b/>
        </w:rPr>
      </w:pPr>
      <w:r w:rsidRPr="00E362A9">
        <w:rPr>
          <w:b/>
        </w:rPr>
        <w:t>AC21 Working groups—Status Update 11-10-11</w:t>
      </w:r>
    </w:p>
    <w:p w:rsidR="00E362A9" w:rsidRDefault="00E362A9"/>
    <w:p w:rsidR="00E23FC2" w:rsidRDefault="00415838">
      <w:r>
        <w:t>At its August 30-31, 2011 meeting, AC21 members decided to establish four working groups to help frame relevant issues for the Committee.  The four working groups are:</w:t>
      </w:r>
    </w:p>
    <w:p w:rsidR="00415838" w:rsidRDefault="00415838" w:rsidP="001D48B0">
      <w:pPr>
        <w:pStyle w:val="ListParagraph"/>
        <w:numPr>
          <w:ilvl w:val="0"/>
          <w:numId w:val="1"/>
        </w:numPr>
      </w:pPr>
      <w:r>
        <w:t>Size and scope of risks</w:t>
      </w:r>
    </w:p>
    <w:p w:rsidR="00415838" w:rsidRDefault="00415838" w:rsidP="001D48B0">
      <w:pPr>
        <w:pStyle w:val="ListParagraph"/>
        <w:numPr>
          <w:ilvl w:val="0"/>
          <w:numId w:val="1"/>
        </w:numPr>
      </w:pPr>
      <w:r>
        <w:t>Potential compensation mechanisms</w:t>
      </w:r>
    </w:p>
    <w:p w:rsidR="00415838" w:rsidRDefault="001D48B0" w:rsidP="001D48B0">
      <w:pPr>
        <w:pStyle w:val="ListParagraph"/>
        <w:numPr>
          <w:ilvl w:val="0"/>
          <w:numId w:val="1"/>
        </w:numPr>
      </w:pPr>
      <w:r>
        <w:t>Tools and standards to verify eligibility and losses</w:t>
      </w:r>
    </w:p>
    <w:p w:rsidR="001D48B0" w:rsidRDefault="001D48B0" w:rsidP="001D48B0">
      <w:pPr>
        <w:pStyle w:val="ListParagraph"/>
        <w:numPr>
          <w:ilvl w:val="0"/>
          <w:numId w:val="1"/>
        </w:numPr>
      </w:pPr>
      <w:r>
        <w:t>Who pays?</w:t>
      </w:r>
    </w:p>
    <w:p w:rsidR="001D48B0" w:rsidRDefault="001D48B0">
      <w:r>
        <w:t>The Committee decided that the first two working groups could begin their work prior to the second plenary session in December, 2011.</w:t>
      </w:r>
    </w:p>
    <w:p w:rsidR="001D48B0" w:rsidRPr="00372036" w:rsidRDefault="001D48B0">
      <w:pPr>
        <w:rPr>
          <w:rFonts w:cs="Times New Roman"/>
        </w:rPr>
      </w:pPr>
      <w:r w:rsidRPr="00372036">
        <w:rPr>
          <w:rFonts w:cs="Times New Roman"/>
        </w:rPr>
        <w:t>In forming the working groups, USDA chose to appoint both AC21 members and non-members in order to broaden representation or provide additional expertise on particular issues.  Working group members who are not members of the AC21 will participate in discussions just as AC21 members on those working groups will</w:t>
      </w:r>
      <w:r w:rsidR="00372036" w:rsidRPr="00372036">
        <w:rPr>
          <w:rFonts w:cs="Times New Roman"/>
        </w:rPr>
        <w:t xml:space="preserve">.  </w:t>
      </w:r>
      <w:r w:rsidRPr="00372036">
        <w:rPr>
          <w:rFonts w:cs="Times New Roman"/>
        </w:rPr>
        <w:t xml:space="preserve"> </w:t>
      </w:r>
      <w:r w:rsidR="00372036" w:rsidRPr="00372036">
        <w:rPr>
          <w:rFonts w:cs="Times New Roman"/>
        </w:rPr>
        <w:t>W</w:t>
      </w:r>
      <w:r w:rsidRPr="00372036">
        <w:rPr>
          <w:rFonts w:cs="Times New Roman"/>
        </w:rPr>
        <w:t xml:space="preserve">orking groups </w:t>
      </w:r>
      <w:r w:rsidR="00372036" w:rsidRPr="00372036">
        <w:rPr>
          <w:rFonts w:cs="Times New Roman"/>
        </w:rPr>
        <w:t xml:space="preserve">are not tasked </w:t>
      </w:r>
      <w:r w:rsidRPr="00372036">
        <w:rPr>
          <w:rFonts w:cs="Times New Roman"/>
        </w:rPr>
        <w:t>with making decisions for the AC21:  rather, their role is to simply help frame information for the full committee to consider. </w:t>
      </w:r>
    </w:p>
    <w:p w:rsidR="001D48B0" w:rsidRDefault="001D48B0" w:rsidP="001D48B0">
      <w:r>
        <w:t>The Size and Scope of Risks working group will have the following members:</w:t>
      </w:r>
    </w:p>
    <w:p w:rsidR="001D48B0" w:rsidRDefault="001D48B0" w:rsidP="001D48B0">
      <w:pPr>
        <w:contextualSpacing/>
      </w:pPr>
      <w:r>
        <w:t xml:space="preserve">Lynn Clarkson               </w:t>
      </w:r>
      <w:r>
        <w:tab/>
      </w:r>
      <w:r>
        <w:tab/>
        <w:t>AC21 member</w:t>
      </w:r>
    </w:p>
    <w:p w:rsidR="001D48B0" w:rsidRDefault="001D48B0" w:rsidP="001D48B0">
      <w:pPr>
        <w:contextualSpacing/>
      </w:pPr>
      <w:r>
        <w:t>Michael Funk                           </w:t>
      </w:r>
      <w:r>
        <w:tab/>
        <w:t>AC21 member</w:t>
      </w:r>
    </w:p>
    <w:p w:rsidR="001D48B0" w:rsidRDefault="001D48B0" w:rsidP="001D48B0">
      <w:pPr>
        <w:contextualSpacing/>
      </w:pPr>
      <w:r>
        <w:t>Latresia Wilson                        </w:t>
      </w:r>
      <w:r>
        <w:tab/>
        <w:t>AC21 member</w:t>
      </w:r>
    </w:p>
    <w:p w:rsidR="001D48B0" w:rsidRDefault="001D48B0" w:rsidP="001D48B0">
      <w:pPr>
        <w:contextualSpacing/>
      </w:pPr>
      <w:r>
        <w:t>Josette Lewis                             </w:t>
      </w:r>
      <w:r>
        <w:tab/>
        <w:t>AC21 member</w:t>
      </w:r>
    </w:p>
    <w:p w:rsidR="001D48B0" w:rsidRDefault="001D48B0" w:rsidP="001D48B0">
      <w:pPr>
        <w:contextualSpacing/>
      </w:pPr>
      <w:r>
        <w:t>Isaura Andaluz                           </w:t>
      </w:r>
      <w:r>
        <w:tab/>
        <w:t>AC21 member</w:t>
      </w:r>
    </w:p>
    <w:p w:rsidR="001D48B0" w:rsidRDefault="001D48B0" w:rsidP="001D48B0">
      <w:pPr>
        <w:contextualSpacing/>
      </w:pPr>
      <w:r>
        <w:rPr>
          <w:i/>
          <w:iCs/>
        </w:rPr>
        <w:t>Keith Coble</w:t>
      </w:r>
      <w:r>
        <w:t>                                </w:t>
      </w:r>
      <w:r>
        <w:tab/>
        <w:t>Economist, Mississippi State University</w:t>
      </w:r>
    </w:p>
    <w:p w:rsidR="001D48B0" w:rsidRDefault="001D48B0" w:rsidP="001D48B0">
      <w:pPr>
        <w:contextualSpacing/>
      </w:pPr>
      <w:r>
        <w:rPr>
          <w:i/>
          <w:iCs/>
        </w:rPr>
        <w:t>Adrienne Massey</w:t>
      </w:r>
      <w:r>
        <w:t>                       </w:t>
      </w:r>
      <w:r>
        <w:tab/>
        <w:t>Biotechnology Industry Organization</w:t>
      </w:r>
    </w:p>
    <w:p w:rsidR="001D48B0" w:rsidRDefault="001D48B0" w:rsidP="001D48B0">
      <w:pPr>
        <w:contextualSpacing/>
      </w:pPr>
      <w:r>
        <w:rPr>
          <w:i/>
          <w:iCs/>
        </w:rPr>
        <w:t xml:space="preserve">Don Cameron    </w:t>
      </w:r>
      <w:r>
        <w:t>                       </w:t>
      </w:r>
      <w:r>
        <w:tab/>
        <w:t>CA farmer (biotech, organic, and conventional)</w:t>
      </w:r>
    </w:p>
    <w:p w:rsidR="001D48B0" w:rsidRDefault="001D48B0" w:rsidP="001D48B0">
      <w:pPr>
        <w:contextualSpacing/>
      </w:pPr>
      <w:r>
        <w:rPr>
          <w:i/>
          <w:iCs/>
        </w:rPr>
        <w:t xml:space="preserve">Douglas </w:t>
      </w:r>
      <w:proofErr w:type="spellStart"/>
      <w:r>
        <w:rPr>
          <w:i/>
          <w:iCs/>
        </w:rPr>
        <w:t>Gurian</w:t>
      </w:r>
      <w:proofErr w:type="spellEnd"/>
      <w:r>
        <w:rPr>
          <w:i/>
          <w:iCs/>
        </w:rPr>
        <w:t>-Sherman</w:t>
      </w:r>
      <w:r>
        <w:t>        </w:t>
      </w:r>
      <w:r>
        <w:tab/>
        <w:t>Union of Concerned Scientists</w:t>
      </w:r>
    </w:p>
    <w:p w:rsidR="001D48B0" w:rsidRDefault="001D48B0" w:rsidP="001D48B0">
      <w:pPr>
        <w:contextualSpacing/>
      </w:pPr>
      <w:r>
        <w:rPr>
          <w:i/>
          <w:iCs/>
        </w:rPr>
        <w:t xml:space="preserve">Chester </w:t>
      </w:r>
      <w:proofErr w:type="spellStart"/>
      <w:r>
        <w:rPr>
          <w:i/>
          <w:iCs/>
        </w:rPr>
        <w:t>Boruff</w:t>
      </w:r>
      <w:proofErr w:type="spellEnd"/>
      <w:r>
        <w:rPr>
          <w:i/>
          <w:iCs/>
        </w:rPr>
        <w:t xml:space="preserve">   </w:t>
      </w:r>
      <w:r>
        <w:t>                       </w:t>
      </w:r>
      <w:r>
        <w:tab/>
        <w:t>CEO, Association of Official Seed Certifying Agencies</w:t>
      </w:r>
    </w:p>
    <w:p w:rsidR="001D48B0" w:rsidRDefault="001D48B0" w:rsidP="001D48B0"/>
    <w:p w:rsidR="001D48B0" w:rsidRDefault="001D48B0" w:rsidP="001D48B0">
      <w:r>
        <w:t>The Compensation Mechanisms working group will have the following members:</w:t>
      </w:r>
    </w:p>
    <w:p w:rsidR="001D48B0" w:rsidRDefault="001D48B0" w:rsidP="001D48B0">
      <w:pPr>
        <w:contextualSpacing/>
      </w:pPr>
      <w:r>
        <w:t>Douglas Goehring                    </w:t>
      </w:r>
      <w:r>
        <w:tab/>
        <w:t>AC21 member</w:t>
      </w:r>
    </w:p>
    <w:p w:rsidR="001D48B0" w:rsidRDefault="001D48B0" w:rsidP="001D48B0">
      <w:pPr>
        <w:contextualSpacing/>
      </w:pPr>
      <w:r>
        <w:t>Marty Matlock                          </w:t>
      </w:r>
      <w:r>
        <w:tab/>
        <w:t>AC21 member</w:t>
      </w:r>
    </w:p>
    <w:p w:rsidR="001D48B0" w:rsidRDefault="001D48B0" w:rsidP="001D48B0">
      <w:pPr>
        <w:contextualSpacing/>
      </w:pPr>
      <w:r>
        <w:t>Barry Bushue                            </w:t>
      </w:r>
      <w:r>
        <w:tab/>
        <w:t>AC21 member</w:t>
      </w:r>
    </w:p>
    <w:p w:rsidR="001D48B0" w:rsidRDefault="001D48B0" w:rsidP="001D48B0">
      <w:pPr>
        <w:contextualSpacing/>
      </w:pPr>
      <w:r>
        <w:t>Laura Batcha                             </w:t>
      </w:r>
      <w:r>
        <w:tab/>
        <w:t>AC21 member</w:t>
      </w:r>
    </w:p>
    <w:p w:rsidR="001D48B0" w:rsidRDefault="001D48B0" w:rsidP="001D48B0">
      <w:pPr>
        <w:contextualSpacing/>
      </w:pPr>
      <w:r>
        <w:t>Jerry Slocum                            </w:t>
      </w:r>
      <w:r>
        <w:tab/>
        <w:t> AC21 member</w:t>
      </w:r>
    </w:p>
    <w:p w:rsidR="001D48B0" w:rsidRDefault="001D48B0" w:rsidP="001D48B0">
      <w:pPr>
        <w:contextualSpacing/>
      </w:pPr>
      <w:r>
        <w:rPr>
          <w:i/>
          <w:iCs/>
        </w:rPr>
        <w:t xml:space="preserve">Brian </w:t>
      </w:r>
      <w:proofErr w:type="spellStart"/>
      <w:r>
        <w:rPr>
          <w:i/>
          <w:iCs/>
        </w:rPr>
        <w:t>Endres</w:t>
      </w:r>
      <w:proofErr w:type="spellEnd"/>
      <w:r>
        <w:t>                             </w:t>
      </w:r>
      <w:r>
        <w:tab/>
        <w:t>Legal expert, University Of Illinois</w:t>
      </w:r>
    </w:p>
    <w:p w:rsidR="001D48B0" w:rsidRDefault="001D48B0" w:rsidP="001D48B0">
      <w:pPr>
        <w:contextualSpacing/>
      </w:pPr>
      <w:r>
        <w:rPr>
          <w:i/>
          <w:iCs/>
        </w:rPr>
        <w:t>Jessica Adelman</w:t>
      </w:r>
      <w:r>
        <w:t>                        </w:t>
      </w:r>
      <w:r>
        <w:tab/>
      </w:r>
      <w:proofErr w:type="spellStart"/>
      <w:r>
        <w:t>Syngenta</w:t>
      </w:r>
      <w:proofErr w:type="spellEnd"/>
      <w:r>
        <w:t xml:space="preserve"> Corporation</w:t>
      </w:r>
    </w:p>
    <w:p w:rsidR="001D48B0" w:rsidRDefault="001D48B0" w:rsidP="001D48B0">
      <w:pPr>
        <w:contextualSpacing/>
      </w:pPr>
      <w:proofErr w:type="gramStart"/>
      <w:r>
        <w:rPr>
          <w:i/>
          <w:iCs/>
        </w:rPr>
        <w:t xml:space="preserve">Michael </w:t>
      </w:r>
      <w:proofErr w:type="spellStart"/>
      <w:r>
        <w:rPr>
          <w:i/>
          <w:iCs/>
        </w:rPr>
        <w:t>Sligh</w:t>
      </w:r>
      <w:proofErr w:type="spellEnd"/>
      <w:r>
        <w:t xml:space="preserve">                           </w:t>
      </w:r>
      <w:r>
        <w:tab/>
        <w:t>Rural Advancement Foundation International.</w:t>
      </w:r>
      <w:proofErr w:type="gramEnd"/>
    </w:p>
    <w:p w:rsidR="001D48B0" w:rsidRDefault="001D48B0" w:rsidP="001D48B0">
      <w:pPr>
        <w:contextualSpacing/>
      </w:pPr>
    </w:p>
    <w:p w:rsidR="001D48B0" w:rsidRDefault="001D48B0" w:rsidP="001D48B0">
      <w:r>
        <w:lastRenderedPageBreak/>
        <w:t xml:space="preserve">We will also have an economist, Dr. Kent Lanclos from the Risk Management Agency, USDA, as a resource person with the Compensation Mechanisms working group.  </w:t>
      </w:r>
    </w:p>
    <w:p w:rsidR="001D48B0" w:rsidRDefault="00372036">
      <w:r>
        <w:t>Membership on working groups 3 and 4 is still under discussion.</w:t>
      </w:r>
    </w:p>
    <w:p w:rsidR="00372036" w:rsidRDefault="00372036" w:rsidP="00372036">
      <w:r>
        <w:t>Plan of Work for Size and Scope of Risks Working Group:</w:t>
      </w:r>
    </w:p>
    <w:p w:rsidR="00372036" w:rsidRDefault="00372036" w:rsidP="00372036">
      <w:pPr>
        <w:pStyle w:val="ListParagraph"/>
        <w:numPr>
          <w:ilvl w:val="0"/>
          <w:numId w:val="4"/>
        </w:numPr>
      </w:pPr>
      <w:r>
        <w:t>What types of data are available and what do they say?</w:t>
      </w:r>
    </w:p>
    <w:p w:rsidR="00372036" w:rsidRDefault="00372036" w:rsidP="00372036">
      <w:pPr>
        <w:pStyle w:val="ListParagraph"/>
        <w:numPr>
          <w:ilvl w:val="0"/>
          <w:numId w:val="4"/>
        </w:numPr>
      </w:pPr>
      <w:r>
        <w:t xml:space="preserve">How might different types of data be </w:t>
      </w:r>
      <w:proofErr w:type="gramStart"/>
      <w:r>
        <w:t>used/presented</w:t>
      </w:r>
      <w:proofErr w:type="gramEnd"/>
      <w:r>
        <w:t xml:space="preserve"> to the committee?</w:t>
      </w:r>
    </w:p>
    <w:p w:rsidR="00372036" w:rsidRDefault="00372036" w:rsidP="00372036">
      <w:pPr>
        <w:pStyle w:val="ListParagraph"/>
        <w:numPr>
          <w:ilvl w:val="0"/>
          <w:numId w:val="4"/>
        </w:numPr>
      </w:pPr>
      <w:r>
        <w:t>How, if at all, might additional information be obtained in a timely manner?</w:t>
      </w:r>
    </w:p>
    <w:p w:rsidR="00372036" w:rsidRDefault="00372036" w:rsidP="00372036">
      <w:pPr>
        <w:pStyle w:val="ListParagraph"/>
        <w:numPr>
          <w:ilvl w:val="0"/>
          <w:numId w:val="4"/>
        </w:numPr>
      </w:pPr>
      <w:r>
        <w:t xml:space="preserve"> What is the level of confidence about the accuracy, broader applicability, and impact of each type of data?</w:t>
      </w:r>
    </w:p>
    <w:p w:rsidR="00372036" w:rsidRDefault="00372036" w:rsidP="00372036">
      <w:pPr>
        <w:pStyle w:val="ListParagraph"/>
        <w:numPr>
          <w:ilvl w:val="0"/>
          <w:numId w:val="4"/>
        </w:numPr>
      </w:pPr>
      <w:r>
        <w:t>Consideration of potential outline of an approach for the AC21 to consider this question</w:t>
      </w:r>
    </w:p>
    <w:p w:rsidR="00372036" w:rsidRDefault="00372036" w:rsidP="00372036">
      <w:pPr>
        <w:pStyle w:val="ListParagraph"/>
        <w:numPr>
          <w:ilvl w:val="1"/>
          <w:numId w:val="2"/>
        </w:numPr>
      </w:pPr>
      <w:r>
        <w:t>What types of data are available or might be gotten in a timely manner?</w:t>
      </w:r>
    </w:p>
    <w:p w:rsidR="00372036" w:rsidRDefault="00372036" w:rsidP="00372036">
      <w:pPr>
        <w:pStyle w:val="ListParagraph"/>
        <w:numPr>
          <w:ilvl w:val="1"/>
          <w:numId w:val="2"/>
        </w:numPr>
      </w:pPr>
      <w:r>
        <w:t>What is the level of confidence about the accuracy, general applicability, and impact of each type of data?</w:t>
      </w:r>
    </w:p>
    <w:p w:rsidR="00372036" w:rsidRDefault="00372036" w:rsidP="00372036">
      <w:pPr>
        <w:pStyle w:val="ListParagraph"/>
        <w:numPr>
          <w:ilvl w:val="1"/>
          <w:numId w:val="2"/>
        </w:numPr>
      </w:pPr>
      <w:r>
        <w:t>What does the data tell the committee about the need for compensation mechanism(s)?</w:t>
      </w:r>
    </w:p>
    <w:p w:rsidR="00372036" w:rsidRDefault="00372036" w:rsidP="00372036">
      <w:pPr>
        <w:pStyle w:val="ListParagraph"/>
        <w:numPr>
          <w:ilvl w:val="1"/>
          <w:numId w:val="2"/>
        </w:numPr>
      </w:pPr>
      <w:r>
        <w:t>How might the committee address data gaps/project for future economic risks in evaluating the need for a compensation mechanism(s)?</w:t>
      </w:r>
    </w:p>
    <w:p w:rsidR="00372036" w:rsidRDefault="00372036" w:rsidP="00372036"/>
    <w:p w:rsidR="00372036" w:rsidRDefault="00372036" w:rsidP="00372036">
      <w:r>
        <w:t xml:space="preserve">Plan of Work for </w:t>
      </w:r>
      <w:r>
        <w:t xml:space="preserve">Potential </w:t>
      </w:r>
      <w:r>
        <w:t>Compensation Mechanisms Working Group</w:t>
      </w:r>
    </w:p>
    <w:p w:rsidR="00372036" w:rsidRDefault="00372036" w:rsidP="00372036">
      <w:pPr>
        <w:pStyle w:val="ListParagraph"/>
        <w:numPr>
          <w:ilvl w:val="0"/>
          <w:numId w:val="5"/>
        </w:numPr>
      </w:pPr>
      <w:r>
        <w:t>What types of mechanisms can be envisioned?</w:t>
      </w:r>
    </w:p>
    <w:p w:rsidR="00372036" w:rsidRDefault="00372036" w:rsidP="00372036">
      <w:pPr>
        <w:pStyle w:val="ListParagraph"/>
        <w:numPr>
          <w:ilvl w:val="0"/>
          <w:numId w:val="5"/>
        </w:numPr>
      </w:pPr>
      <w:r>
        <w:t>What type and scale of risk would the mechanism be most appropriate to address?</w:t>
      </w:r>
    </w:p>
    <w:p w:rsidR="00372036" w:rsidRDefault="00372036" w:rsidP="00372036">
      <w:pPr>
        <w:pStyle w:val="ListParagraph"/>
        <w:numPr>
          <w:ilvl w:val="0"/>
          <w:numId w:val="5"/>
        </w:numPr>
      </w:pPr>
      <w:r>
        <w:t>Who would be responsible for implementing each mechanism?</w:t>
      </w:r>
    </w:p>
    <w:p w:rsidR="00372036" w:rsidRDefault="00372036" w:rsidP="00372036">
      <w:pPr>
        <w:pStyle w:val="ListParagraph"/>
        <w:numPr>
          <w:ilvl w:val="0"/>
          <w:numId w:val="5"/>
        </w:numPr>
      </w:pPr>
      <w:r>
        <w:t>Is there any existing authority for instituting each mechanism?</w:t>
      </w:r>
    </w:p>
    <w:p w:rsidR="00372036" w:rsidRDefault="00372036" w:rsidP="00372036">
      <w:pPr>
        <w:pStyle w:val="ListParagraph"/>
        <w:numPr>
          <w:ilvl w:val="0"/>
          <w:numId w:val="5"/>
        </w:numPr>
      </w:pPr>
      <w:r>
        <w:t>Are there examples of other activities employing similar mechanisms?  If so, how well do they work?</w:t>
      </w:r>
    </w:p>
    <w:p w:rsidR="00372036" w:rsidRDefault="00372036" w:rsidP="00372036">
      <w:pPr>
        <w:pStyle w:val="ListParagraph"/>
        <w:numPr>
          <w:ilvl w:val="0"/>
          <w:numId w:val="5"/>
        </w:numPr>
      </w:pPr>
      <w:r>
        <w:t>What are the pluses and minuses, in terms of avoided conflict, costs/benefits to consumers, costs/benefits to developers, costs/benefits to farmers, potential impacts on litigation and potential litigants,</w:t>
      </w:r>
      <w:r w:rsidRPr="000C0F06">
        <w:t xml:space="preserve"> </w:t>
      </w:r>
      <w:r>
        <w:t xml:space="preserve">incentives for development of upstream technologies to prevent risk, impacts on trade relations, and rate of technology development and use? </w:t>
      </w:r>
    </w:p>
    <w:p w:rsidR="00372036" w:rsidRDefault="00372036" w:rsidP="00372036"/>
    <w:sectPr w:rsidR="00372036"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D3F"/>
    <w:multiLevelType w:val="hybridMultilevel"/>
    <w:tmpl w:val="B27232BE"/>
    <w:lvl w:ilvl="0" w:tplc="57221C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1794E"/>
    <w:multiLevelType w:val="hybridMultilevel"/>
    <w:tmpl w:val="A69E8CE0"/>
    <w:lvl w:ilvl="0" w:tplc="F5986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913E1"/>
    <w:multiLevelType w:val="hybridMultilevel"/>
    <w:tmpl w:val="8F5A09B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C39F7"/>
    <w:multiLevelType w:val="hybridMultilevel"/>
    <w:tmpl w:val="D40E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838"/>
    <w:rsid w:val="0000571D"/>
    <w:rsid w:val="001D48B0"/>
    <w:rsid w:val="001E113B"/>
    <w:rsid w:val="002E4564"/>
    <w:rsid w:val="00372036"/>
    <w:rsid w:val="00415838"/>
    <w:rsid w:val="00482A50"/>
    <w:rsid w:val="005B4C58"/>
    <w:rsid w:val="006127FC"/>
    <w:rsid w:val="007673E1"/>
    <w:rsid w:val="007B730E"/>
    <w:rsid w:val="008A0E04"/>
    <w:rsid w:val="009D09C4"/>
    <w:rsid w:val="00BA423A"/>
    <w:rsid w:val="00E23FC2"/>
    <w:rsid w:val="00E3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8B0"/>
    <w:pPr>
      <w:ind w:left="720"/>
      <w:contextualSpacing/>
    </w:pPr>
  </w:style>
</w:styles>
</file>

<file path=word/webSettings.xml><?xml version="1.0" encoding="utf-8"?>
<w:webSettings xmlns:r="http://schemas.openxmlformats.org/officeDocument/2006/relationships" xmlns:w="http://schemas.openxmlformats.org/wordprocessingml/2006/main">
  <w:divs>
    <w:div w:id="18063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1</cp:revision>
  <dcterms:created xsi:type="dcterms:W3CDTF">2011-11-10T18:05:00Z</dcterms:created>
  <dcterms:modified xsi:type="dcterms:W3CDTF">2011-11-10T20:02:00Z</dcterms:modified>
</cp:coreProperties>
</file>