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04" w:rsidRDefault="009D4504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D4504" w:rsidRDefault="009D4504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71870" cy="57568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26" cy="5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04" w:rsidRDefault="009D4504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4504" w:rsidRPr="009D4504" w:rsidRDefault="009D4504" w:rsidP="0095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4504">
        <w:rPr>
          <w:rFonts w:ascii="Arial" w:hAnsi="Arial" w:cs="Arial"/>
          <w:b/>
          <w:bCs/>
          <w:sz w:val="24"/>
          <w:szCs w:val="24"/>
        </w:rPr>
        <w:t>OFFICE OF THE CHIEF ECONOMIST</w:t>
      </w:r>
    </w:p>
    <w:p w:rsidR="009D4504" w:rsidRPr="009D4504" w:rsidRDefault="009D4504" w:rsidP="009D45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D4504">
        <w:rPr>
          <w:rFonts w:ascii="Arial" w:hAnsi="Arial" w:cs="Arial"/>
          <w:sz w:val="24"/>
          <w:szCs w:val="24"/>
        </w:rPr>
        <w:t>Contact:</w:t>
      </w:r>
    </w:p>
    <w:p w:rsidR="009D4504" w:rsidRPr="009D4504" w:rsidRDefault="009D4504" w:rsidP="009D45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D4504">
        <w:rPr>
          <w:rFonts w:ascii="Arial" w:hAnsi="Arial" w:cs="Arial"/>
          <w:sz w:val="24"/>
          <w:szCs w:val="24"/>
        </w:rPr>
        <w:t>Brenda Chapin 202-720-5447</w:t>
      </w:r>
    </w:p>
    <w:p w:rsidR="009D4504" w:rsidRPr="009D4504" w:rsidRDefault="009D4504" w:rsidP="009D45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D4504">
        <w:rPr>
          <w:rFonts w:ascii="Arial" w:hAnsi="Arial" w:cs="Arial"/>
          <w:sz w:val="24"/>
          <w:szCs w:val="24"/>
        </w:rPr>
        <w:t>bchapin@oce.usda.gov</w:t>
      </w:r>
    </w:p>
    <w:p w:rsidR="009D4504" w:rsidRPr="009D4504" w:rsidRDefault="009D4504" w:rsidP="009D4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0CEC" w:rsidRPr="00803015" w:rsidRDefault="001C0CEC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5A332C" w:rsidRDefault="00D247CF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803015">
        <w:rPr>
          <w:rFonts w:ascii="Arial" w:hAnsi="Arial" w:cs="Arial"/>
          <w:b/>
          <w:bCs/>
          <w:caps/>
          <w:sz w:val="24"/>
          <w:szCs w:val="24"/>
        </w:rPr>
        <w:t xml:space="preserve">USDA’s </w:t>
      </w:r>
      <w:r w:rsidR="00EB0B99" w:rsidRPr="00803015">
        <w:rPr>
          <w:rFonts w:ascii="Arial" w:hAnsi="Arial" w:cs="Arial"/>
          <w:b/>
          <w:bCs/>
          <w:caps/>
          <w:sz w:val="24"/>
          <w:szCs w:val="24"/>
        </w:rPr>
        <w:t>November</w:t>
      </w:r>
      <w:r w:rsidRPr="00803015">
        <w:rPr>
          <w:rFonts w:ascii="Arial" w:hAnsi="Arial" w:cs="Arial"/>
          <w:b/>
          <w:bCs/>
          <w:caps/>
          <w:sz w:val="24"/>
          <w:szCs w:val="24"/>
        </w:rPr>
        <w:t xml:space="preserve"> World Agricultural Supply and Demand Estimates </w:t>
      </w:r>
    </w:p>
    <w:p w:rsidR="009D4504" w:rsidRPr="00803015" w:rsidRDefault="00D247CF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803015">
        <w:rPr>
          <w:rFonts w:ascii="Arial" w:hAnsi="Arial" w:cs="Arial"/>
          <w:b/>
          <w:bCs/>
          <w:caps/>
          <w:sz w:val="24"/>
          <w:szCs w:val="24"/>
        </w:rPr>
        <w:t xml:space="preserve">Report </w:t>
      </w:r>
      <w:r w:rsidR="00803015" w:rsidRPr="00803015">
        <w:rPr>
          <w:rFonts w:ascii="Arial" w:hAnsi="Arial" w:cs="Arial"/>
          <w:b/>
          <w:bCs/>
          <w:caps/>
          <w:sz w:val="24"/>
          <w:szCs w:val="24"/>
        </w:rPr>
        <w:t>t</w:t>
      </w:r>
      <w:r w:rsidRPr="00803015">
        <w:rPr>
          <w:rFonts w:ascii="Arial" w:hAnsi="Arial" w:cs="Arial"/>
          <w:b/>
          <w:bCs/>
          <w:caps/>
          <w:sz w:val="24"/>
          <w:szCs w:val="24"/>
        </w:rPr>
        <w:t>o Incorporate Changes</w:t>
      </w:r>
    </w:p>
    <w:p w:rsidR="009D4504" w:rsidRPr="009D4504" w:rsidRDefault="009D4504" w:rsidP="009D4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5ABF" w:rsidRDefault="00E97734" w:rsidP="003A1DE8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WASHINGTON, Oct. </w:t>
      </w:r>
      <w:r w:rsidR="008D0C5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2012 – The November 9 </w:t>
      </w:r>
      <w:r w:rsidRPr="00B820A6">
        <w:rPr>
          <w:rFonts w:ascii="Times New Roman" w:hAnsi="Times New Roman" w:cs="Times New Roman"/>
          <w:i/>
          <w:sz w:val="24"/>
          <w:szCs w:val="24"/>
        </w:rPr>
        <w:t>World Agricultural Supply and Demand Estimates</w:t>
      </w:r>
      <w:r>
        <w:rPr>
          <w:rFonts w:ascii="Times New Roman" w:hAnsi="Times New Roman" w:cs="Times New Roman"/>
          <w:sz w:val="24"/>
          <w:szCs w:val="24"/>
        </w:rPr>
        <w:t xml:space="preserve"> (WASDE) report, which will be released at 8:30 a.m. EST, will include changes to the WASDE soybe</w:t>
      </w:r>
      <w:r w:rsidR="00B820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and products table.  </w:t>
      </w:r>
      <w:r w:rsidR="00E00AE3" w:rsidRPr="00E97734">
        <w:rPr>
          <w:rFonts w:ascii="Times New Roman" w:hAnsi="Times New Roman" w:cs="Times New Roman"/>
          <w:sz w:val="24"/>
          <w:szCs w:val="24"/>
        </w:rPr>
        <w:t>On</w:t>
      </w:r>
      <w:r w:rsidR="003504ED" w:rsidRPr="00E97734">
        <w:rPr>
          <w:rFonts w:ascii="Times New Roman" w:hAnsi="Times New Roman" w:cs="Times New Roman"/>
          <w:sz w:val="24"/>
          <w:szCs w:val="24"/>
        </w:rPr>
        <w:t xml:space="preserve"> </w:t>
      </w:r>
      <w:r w:rsidR="00E00AE3" w:rsidRPr="00E97734">
        <w:rPr>
          <w:rFonts w:ascii="Times New Roman" w:hAnsi="Times New Roman" w:cs="Times New Roman"/>
          <w:sz w:val="24"/>
          <w:szCs w:val="24"/>
        </w:rPr>
        <w:t>page 15</w:t>
      </w:r>
      <w:r w:rsidR="001B2A51" w:rsidRPr="00E97734">
        <w:rPr>
          <w:rFonts w:ascii="Times New Roman" w:hAnsi="Times New Roman" w:cs="Times New Roman"/>
          <w:sz w:val="24"/>
          <w:szCs w:val="24"/>
        </w:rPr>
        <w:t xml:space="preserve"> (example on </w:t>
      </w:r>
      <w:r w:rsidR="002052D8">
        <w:rPr>
          <w:rFonts w:ascii="Times New Roman" w:hAnsi="Times New Roman" w:cs="Times New Roman"/>
          <w:sz w:val="24"/>
          <w:szCs w:val="24"/>
        </w:rPr>
        <w:t>following</w:t>
      </w:r>
      <w:r w:rsidR="001B2A51" w:rsidRPr="00E97734">
        <w:rPr>
          <w:rFonts w:ascii="Times New Roman" w:hAnsi="Times New Roman" w:cs="Times New Roman"/>
          <w:sz w:val="24"/>
          <w:szCs w:val="24"/>
        </w:rPr>
        <w:t xml:space="preserve"> page)</w:t>
      </w:r>
      <w:r w:rsidR="003504ED" w:rsidRPr="00E97734">
        <w:rPr>
          <w:rFonts w:ascii="Times New Roman" w:hAnsi="Times New Roman" w:cs="Times New Roman"/>
          <w:sz w:val="24"/>
          <w:szCs w:val="24"/>
        </w:rPr>
        <w:t>, in the U.S. Soybeans and Products Supply and Use (Domestic Measure) table,</w:t>
      </w:r>
      <w:r w:rsidR="00E00AE3" w:rsidRPr="00E97734">
        <w:rPr>
          <w:rFonts w:ascii="Times New Roman" w:hAnsi="Times New Roman" w:cs="Times New Roman"/>
          <w:sz w:val="24"/>
          <w:szCs w:val="24"/>
        </w:rPr>
        <w:t xml:space="preserve"> Domestic </w:t>
      </w:r>
      <w:r w:rsidR="00EB0B99" w:rsidRPr="00E97734">
        <w:rPr>
          <w:rFonts w:ascii="Times New Roman" w:hAnsi="Times New Roman" w:cs="Times New Roman"/>
          <w:sz w:val="24"/>
          <w:szCs w:val="24"/>
        </w:rPr>
        <w:t xml:space="preserve">Disappearance </w:t>
      </w:r>
      <w:r w:rsidR="00855F9A">
        <w:rPr>
          <w:rFonts w:ascii="Times New Roman" w:hAnsi="Times New Roman" w:cs="Times New Roman"/>
          <w:sz w:val="24"/>
          <w:szCs w:val="24"/>
        </w:rPr>
        <w:t>will show breakouts for “Biodiesel” and “Food, Feed</w:t>
      </w:r>
      <w:r w:rsidR="00C65B46">
        <w:rPr>
          <w:rFonts w:ascii="Times New Roman" w:hAnsi="Times New Roman" w:cs="Times New Roman"/>
          <w:sz w:val="24"/>
          <w:szCs w:val="24"/>
        </w:rPr>
        <w:t>,</w:t>
      </w:r>
      <w:r w:rsidR="00855F9A">
        <w:rPr>
          <w:rFonts w:ascii="Times New Roman" w:hAnsi="Times New Roman" w:cs="Times New Roman"/>
          <w:sz w:val="24"/>
          <w:szCs w:val="24"/>
        </w:rPr>
        <w:t xml:space="preserve"> other Industrial.” </w:t>
      </w:r>
    </w:p>
    <w:p w:rsidR="00507CEB" w:rsidRDefault="00507CEB" w:rsidP="003A1DE8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  <w:sz w:val="24"/>
          <w:szCs w:val="24"/>
        </w:rPr>
      </w:pPr>
    </w:p>
    <w:p w:rsidR="00703F6B" w:rsidRDefault="00507CEB" w:rsidP="0093180D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 w:rsidRPr="00E97734">
        <w:rPr>
          <w:rFonts w:ascii="Times New Roman" w:hAnsi="Times New Roman" w:cs="Times New Roman"/>
          <w:sz w:val="24"/>
          <w:szCs w:val="24"/>
        </w:rPr>
        <w:t xml:space="preserve">The projection for </w:t>
      </w:r>
      <w:r>
        <w:rPr>
          <w:rFonts w:ascii="Times New Roman" w:hAnsi="Times New Roman" w:cs="Times New Roman"/>
          <w:sz w:val="24"/>
          <w:szCs w:val="24"/>
        </w:rPr>
        <w:t>Methyl Ester</w:t>
      </w:r>
      <w:r w:rsidR="00386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 represented the use of soybean oil for biodiesel production</w:t>
      </w:r>
      <w:r w:rsidR="00386B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discontinued in </w:t>
      </w:r>
      <w:r w:rsidR="0024691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May 2012</w:t>
      </w:r>
      <w:r w:rsidR="00246919">
        <w:rPr>
          <w:rFonts w:ascii="Times New Roman" w:hAnsi="Times New Roman" w:cs="Times New Roman"/>
          <w:sz w:val="24"/>
          <w:szCs w:val="24"/>
        </w:rPr>
        <w:t xml:space="preserve"> WASDE. </w:t>
      </w:r>
      <w:r w:rsidR="00386B66">
        <w:rPr>
          <w:rFonts w:ascii="Times New Roman" w:hAnsi="Times New Roman" w:cs="Times New Roman"/>
          <w:sz w:val="24"/>
          <w:szCs w:val="24"/>
        </w:rPr>
        <w:t xml:space="preserve">Biodiesel production data are now published on a monthly basis by the U.S. Energy Information Agency (EIA) in the </w:t>
      </w:r>
      <w:r w:rsidR="00386B66" w:rsidRPr="00386B66">
        <w:rPr>
          <w:rFonts w:ascii="Times New Roman" w:hAnsi="Times New Roman" w:cs="Times New Roman"/>
          <w:i/>
          <w:sz w:val="24"/>
          <w:szCs w:val="24"/>
        </w:rPr>
        <w:t>Monthly Biodiesel Production Report</w:t>
      </w:r>
      <w:r w:rsidR="00386B66"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7" w:history="1">
        <w:r w:rsidR="00386B66" w:rsidRPr="00E97734">
          <w:rPr>
            <w:rStyle w:val="Hyperlink"/>
            <w:rFonts w:ascii="Times New Roman" w:hAnsi="Times New Roman" w:cs="Times New Roman"/>
            <w:sz w:val="24"/>
            <w:szCs w:val="24"/>
          </w:rPr>
          <w:t>http://www.eia.gov/biofuels/biodiesel/production/</w:t>
        </w:r>
      </w:hyperlink>
      <w:r w:rsidR="00386B66">
        <w:rPr>
          <w:rFonts w:ascii="Times New Roman" w:hAnsi="Times New Roman" w:cs="Times New Roman"/>
          <w:sz w:val="24"/>
          <w:szCs w:val="24"/>
        </w:rPr>
        <w:t>.</w:t>
      </w:r>
      <w:r w:rsidR="00246919">
        <w:rPr>
          <w:rFonts w:ascii="Times New Roman" w:hAnsi="Times New Roman" w:cs="Times New Roman"/>
          <w:sz w:val="24"/>
          <w:szCs w:val="24"/>
        </w:rPr>
        <w:t xml:space="preserve">  </w:t>
      </w:r>
      <w:r w:rsidR="00386B66">
        <w:rPr>
          <w:rFonts w:ascii="Times New Roman" w:hAnsi="Times New Roman" w:cs="Times New Roman"/>
          <w:sz w:val="24"/>
          <w:szCs w:val="24"/>
        </w:rPr>
        <w:t xml:space="preserve"> </w:t>
      </w:r>
      <w:r w:rsidR="003450FA" w:rsidRPr="00E97734">
        <w:rPr>
          <w:rFonts w:ascii="Times New Roman" w:hAnsi="Times New Roman" w:cs="Times New Roman"/>
          <w:sz w:val="24"/>
          <w:szCs w:val="24"/>
        </w:rPr>
        <w:t xml:space="preserve">Projections and final estimates for biodiesel </w:t>
      </w:r>
      <w:r w:rsidR="00386B66">
        <w:rPr>
          <w:rFonts w:ascii="Times New Roman" w:hAnsi="Times New Roman" w:cs="Times New Roman"/>
          <w:sz w:val="24"/>
          <w:szCs w:val="24"/>
        </w:rPr>
        <w:t xml:space="preserve">published in WASDE </w:t>
      </w:r>
      <w:r w:rsidR="003450FA" w:rsidRPr="00E97734">
        <w:rPr>
          <w:rFonts w:ascii="Times New Roman" w:hAnsi="Times New Roman" w:cs="Times New Roman"/>
          <w:sz w:val="24"/>
          <w:szCs w:val="24"/>
        </w:rPr>
        <w:t xml:space="preserve">will reflect </w:t>
      </w:r>
      <w:r w:rsidR="00386B66">
        <w:rPr>
          <w:rFonts w:ascii="Times New Roman" w:hAnsi="Times New Roman" w:cs="Times New Roman"/>
          <w:sz w:val="24"/>
          <w:szCs w:val="24"/>
        </w:rPr>
        <w:t xml:space="preserve">the EIA </w:t>
      </w:r>
      <w:r w:rsidR="003450FA" w:rsidRPr="00E97734">
        <w:rPr>
          <w:rFonts w:ascii="Times New Roman" w:hAnsi="Times New Roman" w:cs="Times New Roman"/>
          <w:sz w:val="24"/>
          <w:szCs w:val="24"/>
        </w:rPr>
        <w:t>data</w:t>
      </w:r>
      <w:r w:rsidR="00386B66">
        <w:rPr>
          <w:rFonts w:ascii="Times New Roman" w:hAnsi="Times New Roman" w:cs="Times New Roman"/>
          <w:sz w:val="24"/>
          <w:szCs w:val="24"/>
        </w:rPr>
        <w:t xml:space="preserve"> in that report.</w:t>
      </w:r>
    </w:p>
    <w:p w:rsidR="00703F6B" w:rsidRDefault="00703F6B" w:rsidP="003A1DE8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  <w:sz w:val="24"/>
          <w:szCs w:val="24"/>
        </w:rPr>
      </w:pPr>
    </w:p>
    <w:p w:rsidR="00703F6B" w:rsidRPr="007D1C0D" w:rsidRDefault="008D0C58" w:rsidP="0093180D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703F6B" w:rsidRPr="007D1C0D">
        <w:rPr>
          <w:rFonts w:ascii="Times New Roman" w:hAnsi="Times New Roman" w:cs="Times New Roman"/>
          <w:sz w:val="24"/>
          <w:szCs w:val="24"/>
        </w:rPr>
        <w:t xml:space="preserve">urrent WASDE report and information on how the report is prepared </w:t>
      </w:r>
      <w:r w:rsidR="00703F6B">
        <w:rPr>
          <w:rFonts w:ascii="Times New Roman" w:hAnsi="Times New Roman" w:cs="Times New Roman"/>
          <w:sz w:val="24"/>
          <w:szCs w:val="24"/>
        </w:rPr>
        <w:t xml:space="preserve">are available </w:t>
      </w:r>
      <w:r w:rsidR="00703F6B" w:rsidRPr="007D1C0D">
        <w:rPr>
          <w:rFonts w:ascii="Times New Roman" w:hAnsi="Times New Roman" w:cs="Times New Roman"/>
          <w:sz w:val="24"/>
          <w:szCs w:val="24"/>
        </w:rPr>
        <w:t>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03F6B" w:rsidRPr="005B7BDE">
          <w:rPr>
            <w:rStyle w:val="Hyperlink"/>
            <w:rFonts w:ascii="Times New Roman" w:hAnsi="Times New Roman" w:cs="Times New Roman"/>
            <w:sz w:val="24"/>
            <w:szCs w:val="24"/>
          </w:rPr>
          <w:t>www.usda.gov/oce/commodity/wasde/</w:t>
        </w:r>
      </w:hyperlink>
      <w:r w:rsidR="00703F6B" w:rsidRPr="007D1C0D">
        <w:rPr>
          <w:rFonts w:ascii="Times New Roman" w:hAnsi="Times New Roman" w:cs="Times New Roman"/>
          <w:sz w:val="24"/>
          <w:szCs w:val="24"/>
        </w:rPr>
        <w:t>.</w:t>
      </w:r>
      <w:r w:rsidR="00703F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0FA" w:rsidRPr="00E97734" w:rsidRDefault="003450FA" w:rsidP="003A1DE8">
      <w:pPr>
        <w:autoSpaceDE w:val="0"/>
        <w:autoSpaceDN w:val="0"/>
        <w:adjustRightInd w:val="0"/>
        <w:spacing w:after="0" w:line="360" w:lineRule="auto"/>
        <w:ind w:left="720" w:right="720"/>
        <w:rPr>
          <w:rFonts w:ascii="Times New Roman" w:hAnsi="Times New Roman" w:cs="Times New Roman"/>
          <w:sz w:val="24"/>
          <w:szCs w:val="24"/>
        </w:rPr>
      </w:pPr>
    </w:p>
    <w:p w:rsidR="00703F6B" w:rsidRDefault="003450FA" w:rsidP="006A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429"/>
        <w:gridCol w:w="20"/>
        <w:gridCol w:w="8966"/>
        <w:gridCol w:w="27"/>
        <w:gridCol w:w="20"/>
        <w:gridCol w:w="205"/>
      </w:tblGrid>
      <w:tr w:rsidR="00B848C5" w:rsidTr="00215D52">
        <w:trPr>
          <w:trHeight w:val="254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0430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1"/>
            </w:tblGrid>
            <w:tr w:rsidR="00B848C5" w:rsidRPr="00750C4D" w:rsidTr="00215D52">
              <w:tc>
                <w:tcPr>
                  <w:tcW w:w="104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803015" w:rsidP="0080301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November</w:t>
                  </w:r>
                  <w:r w:rsidR="00B848C5" w:rsidRPr="00750C4D">
                    <w:rPr>
                      <w:b/>
                      <w:color w:val="000000"/>
                      <w:sz w:val="16"/>
                      <w:szCs w:val="16"/>
                    </w:rPr>
                    <w:t xml:space="preserve"> 2012</w:t>
                  </w: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254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993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89"/>
            </w:tblGrid>
            <w:tr w:rsidR="00B848C5" w:rsidRPr="00750C4D" w:rsidTr="00215D52">
              <w:tc>
                <w:tcPr>
                  <w:tcW w:w="9089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750C4D">
                    <w:rPr>
                      <w:b/>
                      <w:color w:val="000000"/>
                      <w:sz w:val="16"/>
                      <w:szCs w:val="16"/>
                    </w:rPr>
                    <w:t>WASDE - 506 - 15</w:t>
                  </w: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  <w:gridSpan w:val="2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333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966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254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900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89"/>
            </w:tblGrid>
            <w:tr w:rsidR="00B848C5" w:rsidRPr="00750C4D" w:rsidTr="00215D52">
              <w:tc>
                <w:tcPr>
                  <w:tcW w:w="9089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750C4D">
                    <w:rPr>
                      <w:b/>
                      <w:color w:val="000000"/>
                      <w:sz w:val="16"/>
                      <w:szCs w:val="16"/>
                    </w:rPr>
                    <w:t xml:space="preserve">U.S. Soybeans and Products Supply and Use (Domestic Measure)  </w:t>
                  </w: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  <w:gridSpan w:val="2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45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966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c>
          <w:tcPr>
            <w:tcW w:w="1043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8"/>
              <w:gridCol w:w="1818"/>
              <w:gridCol w:w="1818"/>
              <w:gridCol w:w="1818"/>
              <w:gridCol w:w="1818"/>
            </w:tblGrid>
            <w:tr w:rsidR="00B848C5" w:rsidRPr="00750C4D" w:rsidTr="00215D52">
              <w:tc>
                <w:tcPr>
                  <w:tcW w:w="3168" w:type="dxa"/>
                  <w:vMerge w:val="restart"/>
                  <w:tcBorders>
                    <w:top w:val="double" w:sz="1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b/>
                      <w:color w:val="000000"/>
                      <w:sz w:val="16"/>
                      <w:szCs w:val="16"/>
                    </w:rPr>
                    <w:t>SOYBEANS</w:t>
                  </w:r>
                </w:p>
              </w:tc>
              <w:tc>
                <w:tcPr>
                  <w:tcW w:w="1818" w:type="dxa"/>
                  <w:tcBorders>
                    <w:top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2010/11</w:t>
                  </w:r>
                </w:p>
              </w:tc>
              <w:tc>
                <w:tcPr>
                  <w:tcW w:w="1818" w:type="dxa"/>
                  <w:tcBorders>
                    <w:top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2011/12 Est.</w:t>
                  </w:r>
                </w:p>
              </w:tc>
              <w:tc>
                <w:tcPr>
                  <w:tcW w:w="1818" w:type="dxa"/>
                  <w:tcBorders>
                    <w:top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2012/13 Proj.</w:t>
                  </w:r>
                </w:p>
              </w:tc>
              <w:tc>
                <w:tcPr>
                  <w:tcW w:w="1818" w:type="dxa"/>
                  <w:tcBorders>
                    <w:top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2012/13 Proj.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vMerge/>
                  <w:tcBorders>
                    <w:bottom w:val="double" w:sz="1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  <w:rtl/>
                    </w:rPr>
                    <w:t>Apr</w:t>
                  </w: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  <w:rtl/>
                    </w:rPr>
                    <w:t>May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i/>
                      <w:color w:val="000000"/>
                      <w:sz w:val="16"/>
                      <w:szCs w:val="16"/>
                    </w:rPr>
                    <w:t>Million Acres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Area Planted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Area Harvested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i/>
                      <w:color w:val="000000"/>
                      <w:sz w:val="16"/>
                      <w:szCs w:val="16"/>
                    </w:rPr>
                    <w:t>Bushels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Yield per Harvested Acre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i/>
                      <w:color w:val="000000"/>
                      <w:sz w:val="16"/>
                      <w:szCs w:val="16"/>
                    </w:rPr>
                    <w:t>Million Bushels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Beginning Stocks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Production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Imports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    Supply, Total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Crushings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Exports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Seed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Residual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    Use, Total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Ending Stocks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Avg. Farm Price ($/bu) 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 - 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bottom w:val="double" w:sz="1" w:space="0" w:color="000000"/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23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966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c>
          <w:tcPr>
            <w:tcW w:w="1043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"/>
              <w:gridCol w:w="1818"/>
              <w:gridCol w:w="1818"/>
              <w:gridCol w:w="1818"/>
              <w:gridCol w:w="1818"/>
            </w:tblGrid>
            <w:tr w:rsidR="00B848C5" w:rsidRPr="00750C4D" w:rsidTr="00215D52">
              <w:tc>
                <w:tcPr>
                  <w:tcW w:w="3167" w:type="dxa"/>
                  <w:vMerge w:val="restart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b/>
                      <w:color w:val="000000"/>
                      <w:sz w:val="16"/>
                      <w:szCs w:val="16"/>
                    </w:rPr>
                    <w:t>SOYBEAN OIL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2010/11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2011/12 Est.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2012/13 Proj.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2012/13 Proj.</w:t>
                  </w:r>
                </w:p>
              </w:tc>
            </w:tr>
            <w:tr w:rsidR="00B848C5" w:rsidRPr="00750C4D" w:rsidTr="00215D52">
              <w:tc>
                <w:tcPr>
                  <w:tcW w:w="3167" w:type="dxa"/>
                  <w:vMerge/>
                  <w:tcBorders>
                    <w:bottom w:val="double" w:sz="1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April</w:t>
                  </w: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May</w:t>
                  </w:r>
                </w:p>
              </w:tc>
            </w:tr>
            <w:tr w:rsidR="00B848C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</w:tr>
            <w:tr w:rsidR="00B848C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i/>
                      <w:color w:val="000000"/>
                      <w:sz w:val="16"/>
                      <w:szCs w:val="16"/>
                    </w:rPr>
                    <w:t>Million Pounds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848C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Beginning Stocks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Production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Imports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    Supply, Total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5E755E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55E" w:rsidRPr="00750C4D" w:rsidRDefault="005E755E" w:rsidP="00B848C5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Domestic Disappearance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5E755E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55E" w:rsidRPr="005E755E" w:rsidRDefault="005E755E" w:rsidP="00B848C5">
                  <w:pPr>
                    <w:spacing w:after="0" w:line="24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5E755E">
                    <w:rPr>
                      <w:b/>
                      <w:color w:val="000000"/>
                      <w:sz w:val="16"/>
                      <w:szCs w:val="16"/>
                    </w:rPr>
                    <w:t xml:space="preserve">    Biodiesel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5E755E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55E" w:rsidRPr="005E755E" w:rsidRDefault="005E755E" w:rsidP="00B848C5">
                  <w:pPr>
                    <w:spacing w:after="0" w:line="24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5E755E">
                    <w:rPr>
                      <w:b/>
                      <w:color w:val="000000"/>
                      <w:sz w:val="16"/>
                      <w:szCs w:val="16"/>
                    </w:rPr>
                    <w:t xml:space="preserve">    Food, Feed, other Industrial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755E" w:rsidRPr="00750C4D" w:rsidRDefault="005E755E" w:rsidP="005E755E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40471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Exports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40471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     Use, Total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40471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Ending stocks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404715" w:rsidRPr="00750C4D" w:rsidTr="00215D52">
              <w:tc>
                <w:tcPr>
                  <w:tcW w:w="3167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Avg. Farm Price (c/lb) 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 - XX</w:t>
                  </w:r>
                </w:p>
              </w:tc>
            </w:tr>
            <w:tr w:rsidR="00404715" w:rsidRPr="00750C4D" w:rsidTr="00215D52">
              <w:tc>
                <w:tcPr>
                  <w:tcW w:w="3167" w:type="dxa"/>
                  <w:tcBorders>
                    <w:bottom w:val="double" w:sz="1" w:space="0" w:color="000000"/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04715" w:rsidRPr="00750C4D" w:rsidRDefault="0040471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42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966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c>
          <w:tcPr>
            <w:tcW w:w="1043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8"/>
              <w:gridCol w:w="1818"/>
              <w:gridCol w:w="1818"/>
              <w:gridCol w:w="1818"/>
              <w:gridCol w:w="1818"/>
            </w:tblGrid>
            <w:tr w:rsidR="00B848C5" w:rsidRPr="00750C4D" w:rsidTr="00215D52">
              <w:tc>
                <w:tcPr>
                  <w:tcW w:w="3168" w:type="dxa"/>
                  <w:vMerge w:val="restart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b/>
                      <w:color w:val="000000"/>
                      <w:sz w:val="16"/>
                      <w:szCs w:val="16"/>
                    </w:rPr>
                    <w:t>SOYBEAN MEAL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2010/11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2011/12 Est.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2012/13 Proj.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2012/13 Proj.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vMerge/>
                  <w:tcBorders>
                    <w:bottom w:val="double" w:sz="1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April</w:t>
                  </w: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bidi/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  <w:rtl/>
                    </w:rPr>
                    <w:t>May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Filler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18" w:type="dxa"/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4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i/>
                      <w:color w:val="000000"/>
                      <w:sz w:val="16"/>
                      <w:szCs w:val="16"/>
                    </w:rPr>
                    <w:t>Thousand Short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i/>
                      <w:color w:val="000000"/>
                      <w:sz w:val="16"/>
                      <w:szCs w:val="16"/>
                    </w:rPr>
                    <w:t xml:space="preserve"> Tons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Beginning Stocks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Production 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Imports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    Supply, Total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Domestic Disappearance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Exports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    Use, Total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Ending Stocks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right w:val="doub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Avg. Farm Price ($/s.t.)  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</w:t>
                  </w:r>
                </w:p>
              </w:tc>
              <w:tc>
                <w:tcPr>
                  <w:tcW w:w="1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>XX - XX</w:t>
                  </w:r>
                </w:p>
              </w:tc>
            </w:tr>
            <w:tr w:rsidR="00B848C5" w:rsidRPr="00750C4D" w:rsidTr="00215D52">
              <w:tc>
                <w:tcPr>
                  <w:tcW w:w="3168" w:type="dxa"/>
                  <w:tcBorders>
                    <w:bottom w:val="double" w:sz="1" w:space="0" w:color="000000"/>
                    <w:right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FFFFFF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8" w:type="dxa"/>
                  <w:tcBorders>
                    <w:bottom w:val="double" w:sz="1" w:space="0" w:color="000000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848C5" w:rsidRPr="00750C4D" w:rsidRDefault="00B848C5" w:rsidP="00B848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29"/>
        </w:trPr>
        <w:tc>
          <w:tcPr>
            <w:tcW w:w="36" w:type="dxa"/>
          </w:tcPr>
          <w:p w:rsidR="00B848C5" w:rsidRDefault="00B848C5">
            <w:pPr>
              <w:pStyle w:val="EmptyLayoutCell"/>
            </w:pPr>
          </w:p>
        </w:tc>
        <w:tc>
          <w:tcPr>
            <w:tcW w:w="1429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8966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7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:rsidR="00B848C5" w:rsidRPr="00750C4D" w:rsidRDefault="00B848C5" w:rsidP="00B848C5">
            <w:pPr>
              <w:pStyle w:val="EmptyLayoutCell"/>
              <w:rPr>
                <w:sz w:val="16"/>
                <w:szCs w:val="16"/>
              </w:rPr>
            </w:pPr>
          </w:p>
        </w:tc>
        <w:tc>
          <w:tcPr>
            <w:tcW w:w="205" w:type="dxa"/>
          </w:tcPr>
          <w:p w:rsidR="00B848C5" w:rsidRDefault="00B848C5">
            <w:pPr>
              <w:pStyle w:val="EmptyLayoutCell"/>
            </w:pPr>
          </w:p>
        </w:tc>
      </w:tr>
      <w:tr w:rsidR="00B848C5" w:rsidTr="00215D52">
        <w:trPr>
          <w:trHeight w:val="357"/>
        </w:trPr>
        <w:tc>
          <w:tcPr>
            <w:tcW w:w="1046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63"/>
            </w:tblGrid>
            <w:tr w:rsidR="00B848C5" w:rsidRPr="00750C4D" w:rsidTr="00215D52">
              <w:tc>
                <w:tcPr>
                  <w:tcW w:w="105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8C5" w:rsidRPr="00750C4D" w:rsidRDefault="00B848C5" w:rsidP="006A0FD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50C4D">
                    <w:rPr>
                      <w:color w:val="000000"/>
                      <w:sz w:val="16"/>
                      <w:szCs w:val="16"/>
                    </w:rPr>
                    <w:t xml:space="preserve">Footnotes </w:t>
                  </w:r>
                  <w:r w:rsidR="006A0FDF">
                    <w:rPr>
                      <w:color w:val="000000"/>
                      <w:sz w:val="16"/>
                      <w:szCs w:val="16"/>
                    </w:rPr>
                    <w:t xml:space="preserve">will </w:t>
                  </w:r>
                  <w:r w:rsidRPr="00750C4D">
                    <w:rPr>
                      <w:color w:val="000000"/>
                      <w:sz w:val="16"/>
                      <w:szCs w:val="16"/>
                    </w:rPr>
                    <w:t>be added.</w:t>
                  </w:r>
                </w:p>
              </w:tc>
            </w:tr>
          </w:tbl>
          <w:p w:rsidR="00B848C5" w:rsidRPr="00750C4D" w:rsidRDefault="00B848C5" w:rsidP="00B848C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" w:type="dxa"/>
            <w:gridSpan w:val="2"/>
          </w:tcPr>
          <w:p w:rsidR="00B848C5" w:rsidRDefault="00B848C5">
            <w:pPr>
              <w:pStyle w:val="EmptyLayoutCell"/>
            </w:pPr>
          </w:p>
        </w:tc>
      </w:tr>
    </w:tbl>
    <w:p w:rsidR="009D4504" w:rsidRDefault="009D4504" w:rsidP="009D4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504">
        <w:rPr>
          <w:rFonts w:ascii="Times New Roman" w:hAnsi="Times New Roman" w:cs="Times New Roman"/>
          <w:sz w:val="24"/>
          <w:szCs w:val="24"/>
        </w:rPr>
        <w:t>#</w:t>
      </w:r>
    </w:p>
    <w:p w:rsidR="009D4504" w:rsidRPr="009D4504" w:rsidRDefault="009D4504" w:rsidP="009D4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029" w:rsidRPr="00A03E85" w:rsidRDefault="00EC0029" w:rsidP="00EC0029">
      <w:pPr>
        <w:jc w:val="center"/>
        <w:rPr>
          <w:rFonts w:ascii="Times New Roman Italic" w:hAnsi="Times New Roman Italic"/>
          <w:sz w:val="20"/>
        </w:rPr>
      </w:pPr>
      <w:r>
        <w:rPr>
          <w:rFonts w:ascii="Times New Roman Italic" w:hAnsi="Times New Roman Italic"/>
          <w:sz w:val="20"/>
        </w:rPr>
        <w:t>USDA is an equal opportunity provider and employer. To file a complaint of discrimination, write: </w:t>
      </w:r>
      <w:r>
        <w:rPr>
          <w:rStyle w:val="apple-style-span"/>
          <w:rFonts w:ascii="Times New Roman Italic" w:hAnsi="Times New Roman Italic"/>
        </w:rPr>
        <w:t>USDA, Office of the Assistant Secretary for Civil Rights, Office of Adjudication, 1400 Independence Ave., SW, Washington, DC 20250-9410 or call (866) 632-9992 (toll-free customer service), (800) 877-8339 (local or federal relay), (866) 377-8642 (relay voice users).</w:t>
      </w:r>
    </w:p>
    <w:sectPr w:rsidR="00EC0029" w:rsidRPr="00A03E85" w:rsidSect="00B848C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296"/>
    <w:multiLevelType w:val="hybridMultilevel"/>
    <w:tmpl w:val="B4AE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6CF5"/>
    <w:multiLevelType w:val="hybridMultilevel"/>
    <w:tmpl w:val="68A4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04"/>
    <w:rsid w:val="00064D06"/>
    <w:rsid w:val="00090EE1"/>
    <w:rsid w:val="00106036"/>
    <w:rsid w:val="00134FB1"/>
    <w:rsid w:val="00141230"/>
    <w:rsid w:val="001B2A51"/>
    <w:rsid w:val="001B481F"/>
    <w:rsid w:val="001C0CEC"/>
    <w:rsid w:val="001E0286"/>
    <w:rsid w:val="001F2804"/>
    <w:rsid w:val="002052D8"/>
    <w:rsid w:val="00215D52"/>
    <w:rsid w:val="00246919"/>
    <w:rsid w:val="00266CB6"/>
    <w:rsid w:val="002711FC"/>
    <w:rsid w:val="002F2CE7"/>
    <w:rsid w:val="003450FA"/>
    <w:rsid w:val="003504ED"/>
    <w:rsid w:val="0035498D"/>
    <w:rsid w:val="00355F49"/>
    <w:rsid w:val="00386B66"/>
    <w:rsid w:val="003A1DE8"/>
    <w:rsid w:val="003B4B66"/>
    <w:rsid w:val="003E07E4"/>
    <w:rsid w:val="003E0A23"/>
    <w:rsid w:val="00404715"/>
    <w:rsid w:val="004C5ABF"/>
    <w:rsid w:val="004C5CAB"/>
    <w:rsid w:val="004E1AC3"/>
    <w:rsid w:val="00507CEB"/>
    <w:rsid w:val="00535610"/>
    <w:rsid w:val="005A332C"/>
    <w:rsid w:val="005B291D"/>
    <w:rsid w:val="005E755E"/>
    <w:rsid w:val="00600DB1"/>
    <w:rsid w:val="006A0FDF"/>
    <w:rsid w:val="006A730C"/>
    <w:rsid w:val="006B2B53"/>
    <w:rsid w:val="006C3A8D"/>
    <w:rsid w:val="00703F6B"/>
    <w:rsid w:val="007432EC"/>
    <w:rsid w:val="00750C4D"/>
    <w:rsid w:val="007875F8"/>
    <w:rsid w:val="007D1C0D"/>
    <w:rsid w:val="00803015"/>
    <w:rsid w:val="00807CE0"/>
    <w:rsid w:val="00855F9A"/>
    <w:rsid w:val="008912A9"/>
    <w:rsid w:val="008A0FE7"/>
    <w:rsid w:val="008C0C2D"/>
    <w:rsid w:val="008D0C58"/>
    <w:rsid w:val="0093180D"/>
    <w:rsid w:val="009322C8"/>
    <w:rsid w:val="00957930"/>
    <w:rsid w:val="00995C0C"/>
    <w:rsid w:val="009B6E78"/>
    <w:rsid w:val="009D4504"/>
    <w:rsid w:val="009E5E25"/>
    <w:rsid w:val="009E778C"/>
    <w:rsid w:val="00A41AEF"/>
    <w:rsid w:val="00A755A5"/>
    <w:rsid w:val="00A87572"/>
    <w:rsid w:val="00B820A6"/>
    <w:rsid w:val="00B848C5"/>
    <w:rsid w:val="00BD4142"/>
    <w:rsid w:val="00C63872"/>
    <w:rsid w:val="00C65B46"/>
    <w:rsid w:val="00CB62C0"/>
    <w:rsid w:val="00CB7076"/>
    <w:rsid w:val="00D03692"/>
    <w:rsid w:val="00D247CF"/>
    <w:rsid w:val="00D45151"/>
    <w:rsid w:val="00D8013E"/>
    <w:rsid w:val="00D85521"/>
    <w:rsid w:val="00D86AB9"/>
    <w:rsid w:val="00DA5B11"/>
    <w:rsid w:val="00E00AE3"/>
    <w:rsid w:val="00E97734"/>
    <w:rsid w:val="00EB0B99"/>
    <w:rsid w:val="00EC0029"/>
    <w:rsid w:val="00F91DC6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2EC"/>
    <w:pPr>
      <w:ind w:left="720"/>
      <w:contextualSpacing/>
    </w:pPr>
  </w:style>
  <w:style w:type="paragraph" w:customStyle="1" w:styleId="EmptyLayoutCell">
    <w:name w:val="EmptyLayoutCell"/>
    <w:basedOn w:val="Normal"/>
    <w:rsid w:val="00B848C5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pple-style-span">
    <w:name w:val="apple-style-span"/>
    <w:rsid w:val="00EC0029"/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2EC"/>
    <w:pPr>
      <w:ind w:left="720"/>
      <w:contextualSpacing/>
    </w:pPr>
  </w:style>
  <w:style w:type="paragraph" w:customStyle="1" w:styleId="EmptyLayoutCell">
    <w:name w:val="EmptyLayoutCell"/>
    <w:basedOn w:val="Normal"/>
    <w:rsid w:val="00B848C5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pple-style-span">
    <w:name w:val="apple-style-span"/>
    <w:rsid w:val="00EC0029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a.gov/oce/commodity/was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ia.gov/biofuels/biodiesel/prod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Chapin, Brenda - OCE</dc:creator>
  <cp:lastModifiedBy>Lohr, Jennifer - OCE</cp:lastModifiedBy>
  <cp:revision>2</cp:revision>
  <cp:lastPrinted>2012-10-18T17:31:00Z</cp:lastPrinted>
  <dcterms:created xsi:type="dcterms:W3CDTF">2012-10-25T13:09:00Z</dcterms:created>
  <dcterms:modified xsi:type="dcterms:W3CDTF">2012-10-25T13:09:00Z</dcterms:modified>
</cp:coreProperties>
</file>